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Body"/>
        <w:spacing w:before="96"/>
        <w:ind w:left="232" w:firstLine="0"/>
        <w:rPr>
          <w:rFonts w:ascii="Arial" w:cs="Arial" w:hAnsi="Arial" w:eastAsia="Arial"/>
          <w:b w:val="1"/>
          <w:bCs w:val="1"/>
          <w:sz w:val="31"/>
          <w:szCs w:val="31"/>
        </w:rPr>
      </w:pP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 xml:space="preserve">Trustee board skills audit </w:t>
      </w:r>
      <w:r>
        <w:rPr>
          <w:rFonts w:ascii="Arial" w:hAnsi="Arial" w:hint="default"/>
          <w:b w:val="1"/>
          <w:bCs w:val="1"/>
          <w:sz w:val="31"/>
          <w:szCs w:val="3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>your experience</w:t>
      </w:r>
    </w:p>
    <w:p>
      <w:pPr>
        <w:pStyle w:val="heading 4"/>
        <w:spacing w:before="275" w:line="242" w:lineRule="auto"/>
        <w:ind w:left="232" w:right="408" w:firstLine="0"/>
      </w:pPr>
      <w:r>
        <w:rPr>
          <w:rtl w:val="0"/>
          <w:lang w:val="en-US"/>
        </w:rPr>
        <w:t>For a board to make the most of its trustees,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useful to know what skills they possess. This skills audit considers some key areas and enables you to assess the level of your knowledge.</w:t>
      </w:r>
    </w:p>
    <w:p>
      <w:pPr>
        <w:pStyle w:val="Body Text"/>
        <w:spacing w:before="2"/>
        <w:rPr>
          <w:rFonts w:ascii="Arial" w:cs="Arial" w:hAnsi="Arial" w:eastAsia="Arial"/>
          <w:sz w:val="16"/>
          <w:szCs w:val="16"/>
        </w:rPr>
      </w:pPr>
    </w:p>
    <w:tbl>
      <w:tblPr>
        <w:tblW w:w="1478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6"/>
        <w:gridCol w:w="850"/>
        <w:gridCol w:w="1138"/>
        <w:gridCol w:w="994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1596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364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284" w:firstLine="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Operation of trustee board</w:t>
            </w:r>
          </w:p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aims and objectives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Formulating policy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priorities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910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83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Strategic and business planning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Governance structures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189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Legal aspects of managing a charity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Monitoring progress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Working as a team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110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103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Chairing and running meetings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Taking minutes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agendas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Administration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/>
        <w:ind w:left="2" w:hanging="2"/>
        <w:rPr>
          <w:rFonts w:ascii="Arial" w:cs="Arial" w:hAnsi="Arial" w:eastAsia="Arial"/>
          <w:sz w:val="16"/>
          <w:szCs w:val="16"/>
        </w:rPr>
      </w:pPr>
    </w:p>
    <w:p>
      <w:pPr>
        <w:pStyle w:val="Body"/>
        <w:sectPr>
          <w:headerReference w:type="default" r:id="rId4"/>
          <w:footerReference w:type="default" r:id="rId5"/>
          <w:pgSz w:w="16840" w:h="11920" w:orient="landscape"/>
          <w:pgMar w:top="760" w:right="1080" w:bottom="280" w:left="1080" w:header="0" w:footer="0"/>
          <w:pgNumType w:start="1"/>
          <w:bidi w:val="0"/>
        </w:sectPr>
      </w:pPr>
    </w:p>
    <w:p>
      <w:pPr>
        <w:pStyle w:val="Body Text"/>
        <w:spacing w:before="2" w:after="1"/>
        <w:rPr>
          <w:rFonts w:ascii="Times New Roman" w:cs="Times New Roman" w:hAnsi="Times New Roman" w:eastAsia="Times New Roman"/>
          <w:sz w:val="17"/>
          <w:szCs w:val="17"/>
        </w:rPr>
      </w:pPr>
    </w:p>
    <w:tbl>
      <w:tblPr>
        <w:tblW w:w="14790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7"/>
        <w:gridCol w:w="850"/>
        <w:gridCol w:w="1138"/>
        <w:gridCol w:w="995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159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Fonts w:ascii="Calibri" w:cs="Calibri" w:hAnsi="Calibri" w:eastAsia="Calibri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Specific skills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Legal knowledge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Equality and diversity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Insurance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Managing premises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Information technology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Financial management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Budgets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Cash flow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Investment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Business planning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Fundraising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Negotiating grants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Finding new donors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Fundraising &amp; events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Marketing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Liaising with the media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112" w:hanging="112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ectPr>
          <w:headerReference w:type="default" r:id="rId6"/>
          <w:pgSz w:w="16840" w:h="11920" w:orient="landscape"/>
          <w:pgMar w:top="920" w:right="900" w:bottom="1240" w:left="900" w:header="0" w:footer="0"/>
          <w:bidi w:val="0"/>
        </w:sectPr>
      </w:pPr>
    </w:p>
    <w:p>
      <w:pPr>
        <w:pStyle w:val="Body Text"/>
        <w:spacing w:before="2" w:after="1"/>
        <w:rPr>
          <w:rFonts w:ascii="Times New Roman" w:cs="Times New Roman" w:hAnsi="Times New Roman" w:eastAsia="Times New Roman"/>
          <w:sz w:val="17"/>
          <w:szCs w:val="17"/>
        </w:rPr>
      </w:pPr>
    </w:p>
    <w:tbl>
      <w:tblPr>
        <w:tblW w:w="14790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7"/>
        <w:gridCol w:w="850"/>
        <w:gridCol w:w="1138"/>
        <w:gridCol w:w="995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59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Networking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Local government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Central government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Research and campaigning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Promotion and PR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Fonts w:ascii="Calibri" w:cs="Calibri" w:hAnsi="Calibri" w:eastAsia="Calibri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bidi w:val="0"/>
              <w:spacing w:line="237" w:lineRule="auto"/>
              <w:ind w:left="105" w:right="79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Overseeing the bureau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Managing staff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Managing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volunteers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2" w:lineRule="auto"/>
              <w:ind w:left="0" w:right="777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Recruitment and selection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Induction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37" w:lineRule="auto"/>
              <w:ind w:left="0" w:right="123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Support and supervision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Appraisal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Training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Career development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Motivating staff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112" w:hanging="112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ectPr>
          <w:headerReference w:type="default" r:id="rId7"/>
          <w:pgSz w:w="16840" w:h="11920" w:orient="landscape"/>
          <w:pgMar w:top="920" w:right="900" w:bottom="1240" w:left="900" w:header="0" w:footer="0"/>
          <w:bidi w:val="0"/>
        </w:sect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5"/>
        <w:rPr>
          <w:rFonts w:ascii="Times New Roman" w:cs="Times New Roman" w:hAnsi="Times New Roman" w:eastAsia="Times New Roman"/>
        </w:rPr>
      </w:pPr>
    </w:p>
    <w:tbl>
      <w:tblPr>
        <w:tblW w:w="14789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89"/>
      </w:tblGrid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What other skills or experience do you feel you offer to the trustee board?</w:t>
            </w:r>
          </w:p>
        </w:tc>
      </w:tr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Are there any particular areas of the bureau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s work in which you would like to be involved?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Any other comments?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117" w:hanging="117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8"/>
      <w:pgSz w:w="16840" w:h="11920" w:orient="landscape"/>
      <w:pgMar w:top="920" w:right="900" w:bottom="1240" w:left="9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9584690</wp:posOffset>
              </wp:positionV>
              <wp:extent cx="120650" cy="193040"/>
              <wp:effectExtent l="0" t="0" r="0" b="0"/>
              <wp:wrapNone/>
              <wp:docPr id="1073741825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5.7pt;margin-top:754.7pt;width:9.5pt;height:1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40" w:firstLine="0"/>
                    </w:pP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instrText xml:space="preserve"/>
                    </w: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27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28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29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30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31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7" w:after="0" w:line="240" w:lineRule="auto"/>
      <w:ind w:left="115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